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12bis</w:t>
      </w:r>
      <w:r>
        <w:rPr>
          <w:rFonts w:hint="eastAsia" w:ascii="Arial" w:hAnsi="Arial" w:cs="Arial"/>
          <w:b/>
          <w:sz w:val="24"/>
          <w:szCs w:val="24"/>
        </w:rPr>
        <w:t xml:space="preserve">                              R4-2416229</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hint="eastAsia" w:ascii="Arial" w:hAnsi="Arial" w:cs="Arial"/>
          <w:b/>
          <w:sz w:val="24"/>
          <w:szCs w:val="24"/>
          <w:lang w:val="en-US" w:eastAsia="zh-CN"/>
        </w:rPr>
        <w:t>Hefei</w:t>
      </w:r>
      <w:r>
        <w:rPr>
          <w:rFonts w:ascii="Arial" w:hAnsi="Arial" w:eastAsia="宋体" w:cs="Arial"/>
          <w:b/>
          <w:sz w:val="24"/>
          <w:szCs w:val="24"/>
          <w:lang w:eastAsia="zh-CN"/>
        </w:rPr>
        <w:t xml:space="preserve"> , </w:t>
      </w:r>
      <w:r>
        <w:rPr>
          <w:rFonts w:hint="eastAsia" w:ascii="Arial" w:hAnsi="Arial"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cs="Arial"/>
          <w:b/>
          <w:sz w:val="24"/>
          <w:szCs w:val="24"/>
          <w:lang w:val="en-US" w:eastAsia="zh-CN"/>
        </w:rPr>
        <w:t>14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cs="Arial"/>
          <w:b/>
          <w:sz w:val="24"/>
          <w:szCs w:val="24"/>
          <w:lang w:val="en-US" w:eastAsia="zh-CN"/>
        </w:rPr>
        <w:t>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Oct,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6.21.2.2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w:t>
      </w:r>
      <w:r>
        <w:rPr>
          <w:rFonts w:hint="eastAsia" w:ascii="Arial" w:hAnsi="Arial" w:cs="Arial"/>
          <w:b/>
          <w:sz w:val="24"/>
          <w:szCs w:val="24"/>
        </w:rPr>
        <w:t>Co-existence evaluations</w:t>
      </w:r>
      <w:r>
        <w:rPr>
          <w:rFonts w:hint="eastAsia" w:ascii="Arial" w:hAnsi="Arial" w:cs="Arial"/>
          <w:b/>
          <w:sz w:val="24"/>
          <w:szCs w:val="24"/>
          <w:lang w:val="en-US"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 xml:space="preserve">s expected to start the normative work from this April meeting. In the previous RAN4 meetings, we have reached lots of consensus on simulation assumptions for coexistence study. In this contribution, we would like to share some observations based on the initial coexistence simulation results. </w:t>
      </w:r>
    </w:p>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20"/>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eastAsia="Times New Roman"/>
          <w:sz w:val="28"/>
          <w:szCs w:val="28"/>
          <w:lang w:val="en-US"/>
        </w:rPr>
      </w:pPr>
      <w:r>
        <w:rPr>
          <w:rFonts w:hint="eastAsia"/>
          <w:sz w:val="28"/>
          <w:szCs w:val="28"/>
          <w:lang w:val="en-US" w:eastAsia="zh-CN"/>
        </w:rPr>
        <w:t>2.1. Simulation assumptions</w:t>
      </w:r>
    </w:p>
    <w:p>
      <w:pPr>
        <w:tabs>
          <w:tab w:val="left" w:pos="2127"/>
        </w:tabs>
        <w:spacing w:after="0"/>
        <w:rPr>
          <w:rFonts w:hint="eastAsia"/>
          <w:lang w:val="en-US" w:eastAsia="zh-CN"/>
        </w:rPr>
      </w:pPr>
      <w:r>
        <w:rPr>
          <w:rFonts w:hint="eastAsia"/>
          <w:lang w:val="en-US" w:eastAsia="zh-CN"/>
        </w:rPr>
        <w:t xml:space="preserve">In the previous RAN4 meeting, there are two options for NR in-band emission with some PRBs punctured for A-IoT service. As shown in the following figure with both 1 PRB punctured and 4 PRBs punctured, it seems that average leakage in PSD level is not as much as high as 30dBc, therefore we propose to use the 17dBc as assumption to draw the conclusion considering NR BS in-band emission towards A-IoT BS reception. This in-band emission is useless for A-IoT device reception since all signals within 10MHz should be received unless there are any 180kHz LBP filtering assumption. </w:t>
      </w:r>
    </w:p>
    <w:p>
      <w:pPr>
        <w:tabs>
          <w:tab w:val="left" w:pos="2127"/>
        </w:tabs>
        <w:spacing w:after="0"/>
        <w:jc w:val="center"/>
      </w:pPr>
      <w:r>
        <w:drawing>
          <wp:inline distT="0" distB="0" distL="114300" distR="114300">
            <wp:extent cx="3241040" cy="2430780"/>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7"/>
                    <a:stretch>
                      <a:fillRect/>
                    </a:stretch>
                  </pic:blipFill>
                  <pic:spPr>
                    <a:xfrm>
                      <a:off x="0" y="0"/>
                      <a:ext cx="3241040" cy="2430780"/>
                    </a:xfrm>
                    <a:prstGeom prst="rect">
                      <a:avLst/>
                    </a:prstGeom>
                    <a:noFill/>
                    <a:ln>
                      <a:noFill/>
                    </a:ln>
                  </pic:spPr>
                </pic:pic>
              </a:graphicData>
            </a:graphic>
          </wp:inline>
        </w:drawing>
      </w:r>
    </w:p>
    <w:p>
      <w:pPr>
        <w:tabs>
          <w:tab w:val="left" w:pos="2127"/>
        </w:tabs>
        <w:spacing w:after="0"/>
        <w:jc w:val="center"/>
      </w:pPr>
    </w:p>
    <w:p>
      <w:pPr>
        <w:tabs>
          <w:tab w:val="left" w:pos="2127"/>
        </w:tabs>
        <w:spacing w:after="0"/>
        <w:jc w:val="center"/>
      </w:pPr>
      <w:r>
        <w:drawing>
          <wp:inline distT="0" distB="0" distL="114300" distR="114300">
            <wp:extent cx="3241040" cy="2430780"/>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8"/>
                    <a:stretch>
                      <a:fillRect/>
                    </a:stretch>
                  </pic:blipFill>
                  <pic:spPr>
                    <a:xfrm>
                      <a:off x="0" y="0"/>
                      <a:ext cx="3241040" cy="2430780"/>
                    </a:xfrm>
                    <a:prstGeom prst="rect">
                      <a:avLst/>
                    </a:prstGeom>
                    <a:noFill/>
                    <a:ln>
                      <a:noFill/>
                    </a:ln>
                  </pic:spPr>
                </pic:pic>
              </a:graphicData>
            </a:graphic>
          </wp:inline>
        </w:drawing>
      </w:r>
    </w:p>
    <w:p>
      <w:pPr>
        <w:tabs>
          <w:tab w:val="left" w:pos="2127"/>
        </w:tabs>
        <w:spacing w:after="0"/>
        <w:jc w:val="center"/>
        <w:rPr>
          <w:rFonts w:hint="eastAsia"/>
          <w:lang w:val="en-US" w:eastAsia="zh-CN"/>
        </w:rPr>
      </w:pPr>
      <w:r>
        <w:rPr>
          <w:rFonts w:hint="eastAsia"/>
          <w:lang w:val="en-US" w:eastAsia="zh-CN"/>
        </w:rPr>
        <w:t>Figure 1. PSD for 1 puncture PRB and 4 punctured PRBs</w:t>
      </w:r>
    </w:p>
    <w:p>
      <w:pPr>
        <w:tabs>
          <w:tab w:val="left" w:pos="2127"/>
        </w:tabs>
        <w:spacing w:after="0"/>
        <w:jc w:val="center"/>
        <w:rPr>
          <w:rFonts w:hint="default"/>
          <w:lang w:val="en-US" w:eastAsia="zh-CN"/>
        </w:rPr>
      </w:pPr>
    </w:p>
    <w:p>
      <w:p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use the in-band leakage as 17dBc for coexistence sharing study. </w:t>
      </w:r>
    </w:p>
    <w:p>
      <w:pPr>
        <w:tabs>
          <w:tab w:val="left" w:pos="2127"/>
        </w:tabs>
        <w:spacing w:after="0"/>
        <w:rPr>
          <w:rFonts w:hint="default"/>
          <w:vertAlign w:val="baseline"/>
          <w:lang w:val="en-US" w:eastAsia="zh-CN"/>
        </w:rPr>
      </w:pPr>
      <w:r>
        <w:rPr>
          <w:rFonts w:hint="eastAsia"/>
          <w:lang w:val="en-US" w:eastAsia="zh-CN"/>
        </w:rPr>
        <w:t xml:space="preserve">In the last RAN4 meeting, it was agreed to activate the A-IoT BS with following assumptions and leave its details up to the implementation. In our simulation platform, we use the activation scheme as shown in Figure 2 for the coexistence simulation. Namely for the row at the bottom, A-IoT BSs with the same color are activated at the same time and it also applies for A-IoT BS in other rows.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eastAsia="MS Mincho"/>
                <w:lang w:val="en-US" w:eastAsia="zh-CN"/>
              </w:rPr>
            </w:pPr>
            <w:r>
              <w:rPr>
                <w:rFonts w:hint="eastAsia"/>
                <w:b/>
                <w:bCs/>
                <w:lang w:val="en-US" w:eastAsia="zh-CN"/>
              </w:rPr>
              <w:t>Agreement:</w:t>
            </w:r>
          </w:p>
          <w:p>
            <w:pPr>
              <w:pStyle w:val="37"/>
              <w:keepNext w:val="0"/>
              <w:keepLines w:val="0"/>
              <w:numPr>
                <w:ilvl w:val="0"/>
                <w:numId w:val="2"/>
              </w:numPr>
              <w:suppressLineNumbers w:val="0"/>
              <w:spacing w:before="0" w:beforeAutospacing="0" w:afterAutospacing="0"/>
              <w:ind w:right="0" w:firstLineChars="0"/>
              <w:rPr>
                <w:rFonts w:hint="default"/>
                <w:highlight w:val="none"/>
                <w:lang w:eastAsia="zh-CN"/>
              </w:rPr>
            </w:pPr>
            <w:r>
              <w:rPr>
                <w:rFonts w:hint="eastAsia" w:eastAsiaTheme="minorEastAsia"/>
                <w:highlight w:val="none"/>
                <w:lang w:eastAsia="zh-CN"/>
              </w:rPr>
              <w:t>Minimum distance between active readers: 60m as baseline, other values can be reported by other companies.</w:t>
            </w:r>
          </w:p>
          <w:p>
            <w:pPr>
              <w:keepNext w:val="0"/>
              <w:keepLines w:val="0"/>
              <w:suppressLineNumbers w:val="0"/>
              <w:spacing w:before="0" w:beforeAutospacing="0" w:afterAutospacing="0"/>
              <w:ind w:left="0" w:right="0"/>
              <w:rPr>
                <w:rFonts w:hint="default"/>
                <w:vertAlign w:val="baseline"/>
                <w:lang w:val="en-US" w:eastAsia="zh-CN"/>
              </w:rPr>
            </w:pPr>
            <w:r>
              <w:rPr>
                <w:rFonts w:hint="default" w:eastAsiaTheme="minorEastAsia"/>
                <w:highlight w:val="none"/>
                <w:lang w:eastAsia="zh-CN"/>
              </w:rPr>
              <w:t>-</w:t>
            </w:r>
            <w:r>
              <w:rPr>
                <w:rFonts w:hint="default" w:eastAsiaTheme="minorEastAsia"/>
                <w:highlight w:val="none"/>
                <w:lang w:eastAsia="zh-CN"/>
              </w:rPr>
              <w:tab/>
            </w:r>
            <w:r>
              <w:rPr>
                <w:rFonts w:hint="eastAsia" w:eastAsiaTheme="minorEastAsia"/>
                <w:highlight w:val="none"/>
                <w:lang w:eastAsia="zh-CN"/>
              </w:rPr>
              <w:t xml:space="preserve">   </w:t>
            </w:r>
            <w:r>
              <w:rPr>
                <w:rFonts w:hint="default" w:eastAsiaTheme="minorEastAsia"/>
                <w:highlight w:val="none"/>
                <w:lang w:eastAsia="zh-CN"/>
              </w:rPr>
              <w:t>2 readers are activated in one drop</w:t>
            </w:r>
            <w:r>
              <w:rPr>
                <w:rFonts w:hint="eastAsia" w:eastAsiaTheme="minorEastAsia"/>
                <w:highlight w:val="none"/>
                <w:lang w:eastAsia="zh-CN"/>
              </w:rPr>
              <w:t xml:space="preserve"> as baseline</w:t>
            </w:r>
          </w:p>
        </w:tc>
      </w:tr>
    </w:tbl>
    <w:p>
      <w:pPr>
        <w:tabs>
          <w:tab w:val="left" w:pos="2127"/>
        </w:tabs>
        <w:spacing w:after="0"/>
        <w:rPr>
          <w:rFonts w:hint="default"/>
          <w:lang w:val="en-US" w:eastAsia="zh-CN"/>
        </w:rPr>
      </w:pPr>
    </w:p>
    <w:p>
      <w:pPr>
        <w:keepNext w:val="0"/>
        <w:keepLines w:val="0"/>
        <w:widowControl/>
        <w:suppressLineNumbers w:val="0"/>
        <w:jc w:val="center"/>
        <w:rPr>
          <w:rFonts w:hint="default"/>
          <w:lang w:val="en-US" w:eastAsia="zh-CN"/>
        </w:rPr>
      </w:pPr>
      <w:r>
        <w:rPr>
          <w:rFonts w:ascii="宋体" w:hAnsi="宋体" w:eastAsia="宋体" w:cs="宋体"/>
          <w:kern w:val="0"/>
          <w:sz w:val="24"/>
          <w:szCs w:val="24"/>
          <w:lang w:val="en-US" w:eastAsia="zh-CN" w:bidi="ar"/>
        </w:rPr>
        <w:drawing>
          <wp:inline distT="0" distB="0" distL="114300" distR="114300">
            <wp:extent cx="4554220" cy="2280920"/>
            <wp:effectExtent l="0" t="0" r="17780" b="50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9"/>
                    <a:stretch>
                      <a:fillRect/>
                    </a:stretch>
                  </pic:blipFill>
                  <pic:spPr>
                    <a:xfrm>
                      <a:off x="0" y="0"/>
                      <a:ext cx="4554220" cy="2280920"/>
                    </a:xfrm>
                    <a:prstGeom prst="rect">
                      <a:avLst/>
                    </a:prstGeom>
                    <a:noFill/>
                    <a:ln w="9525">
                      <a:noFill/>
                    </a:ln>
                  </pic:spPr>
                </pic:pic>
              </a:graphicData>
            </a:graphic>
          </wp:inline>
        </w:drawing>
      </w:r>
    </w:p>
    <w:p>
      <w:pPr>
        <w:tabs>
          <w:tab w:val="left" w:pos="2127"/>
        </w:tabs>
        <w:spacing w:after="0"/>
        <w:jc w:val="center"/>
        <w:rPr>
          <w:rFonts w:hint="eastAsia"/>
          <w:lang w:val="en-US" w:eastAsia="zh-CN"/>
        </w:rPr>
      </w:pPr>
      <w:r>
        <w:rPr>
          <w:rFonts w:hint="eastAsia"/>
          <w:lang w:val="en-US" w:eastAsia="zh-CN"/>
        </w:rPr>
        <w:t xml:space="preserve">Figure 2. Activation scheme for A-IoT BS </w:t>
      </w:r>
    </w:p>
    <w:p>
      <w:pPr>
        <w:tabs>
          <w:tab w:val="left" w:pos="2127"/>
        </w:tabs>
        <w:spacing w:after="0"/>
        <w:jc w:val="center"/>
        <w:rPr>
          <w:rFonts w:hint="default"/>
          <w:lang w:val="en-US" w:eastAsia="zh-CN"/>
        </w:rPr>
      </w:pPr>
    </w:p>
    <w:p>
      <w:pPr>
        <w:tabs>
          <w:tab w:val="left" w:pos="2127"/>
        </w:tabs>
        <w:spacing w:after="0"/>
        <w:rPr>
          <w:rFonts w:hint="default"/>
          <w:lang w:val="en-US" w:eastAsia="zh-CN"/>
        </w:rPr>
      </w:pPr>
      <w:r>
        <w:rPr>
          <w:rFonts w:hint="eastAsia"/>
          <w:lang w:val="en-US" w:eastAsia="zh-CN"/>
        </w:rPr>
        <w:t xml:space="preserve">Since the modulation/coding scheme for A-IoT system is still under the discussion in RAN1. Based on the previous discussion in RAN4, it was agreed to use the outage performance (e.g. &gt; BLER 10%) if SINR degradation is larger than 1dB. Based on the initial simulation provided in Figure 3, SNR for OOK-1 with BW 180kHz is around 9dB@BLER 10%. This is used as basic criteria to distinguish whether device is outage or not. </w:t>
      </w:r>
    </w:p>
    <w:p>
      <w:pPr>
        <w:tabs>
          <w:tab w:val="left" w:pos="2127"/>
        </w:tabs>
        <w:spacing w:after="0"/>
        <w:jc w:val="center"/>
      </w:pPr>
      <w:r>
        <w:drawing>
          <wp:inline distT="0" distB="0" distL="114300" distR="114300">
            <wp:extent cx="2665730" cy="2221865"/>
            <wp:effectExtent l="0" t="0" r="127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2665730" cy="2221865"/>
                    </a:xfrm>
                    <a:prstGeom prst="rect">
                      <a:avLst/>
                    </a:prstGeom>
                    <a:noFill/>
                    <a:ln>
                      <a:noFill/>
                    </a:ln>
                  </pic:spPr>
                </pic:pic>
              </a:graphicData>
            </a:graphic>
          </wp:inline>
        </w:drawing>
      </w:r>
      <w:r>
        <w:rPr>
          <w:rFonts w:hint="eastAsia"/>
          <w:lang w:val="en-US" w:eastAsia="zh-CN"/>
        </w:rPr>
        <w:t xml:space="preserve">    </w:t>
      </w:r>
      <w:r>
        <w:drawing>
          <wp:inline distT="0" distB="0" distL="114300" distR="114300">
            <wp:extent cx="2526030" cy="2195195"/>
            <wp:effectExtent l="0" t="0" r="762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2526030" cy="2195195"/>
                    </a:xfrm>
                    <a:prstGeom prst="rect">
                      <a:avLst/>
                    </a:prstGeom>
                    <a:noFill/>
                    <a:ln>
                      <a:noFill/>
                    </a:ln>
                  </pic:spPr>
                </pic:pic>
              </a:graphicData>
            </a:graphic>
          </wp:inline>
        </w:drawing>
      </w:r>
    </w:p>
    <w:p>
      <w:pPr>
        <w:tabs>
          <w:tab w:val="left" w:pos="2127"/>
        </w:tabs>
        <w:spacing w:after="0"/>
        <w:jc w:val="center"/>
        <w:rPr>
          <w:rFonts w:hint="default"/>
          <w:lang w:val="en-US" w:eastAsia="zh-CN"/>
        </w:rPr>
      </w:pPr>
      <w:r>
        <w:rPr>
          <w:rFonts w:hint="eastAsia"/>
          <w:lang w:val="en-US" w:eastAsia="zh-CN"/>
        </w:rPr>
        <w:t>Figure 3. BLER performance for OOK detection at device/tag side</w:t>
      </w:r>
    </w:p>
    <w:p>
      <w:pPr>
        <w:pStyle w:val="58"/>
        <w:keepNext/>
        <w:keepLines/>
        <w:pageBreakBefore w:val="0"/>
        <w:widowControl/>
        <w:numPr>
          <w:ilvl w:val="0"/>
          <w:numId w:val="0"/>
        </w:numPr>
        <w:pBdr>
          <w:top w:val="none" w:color="auto" w:sz="0" w:space="1"/>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default" w:eastAsia="Times New Roman"/>
          <w:sz w:val="28"/>
          <w:szCs w:val="28"/>
          <w:lang w:val="en-US"/>
        </w:rPr>
      </w:pPr>
      <w:r>
        <w:rPr>
          <w:rFonts w:hint="eastAsia"/>
          <w:sz w:val="28"/>
          <w:szCs w:val="28"/>
          <w:lang w:val="en-US" w:eastAsia="zh-CN"/>
        </w:rPr>
        <w:t>2.2. Simulation results</w:t>
      </w:r>
    </w:p>
    <w:p>
      <w:pPr>
        <w:tabs>
          <w:tab w:val="left" w:pos="2127"/>
        </w:tabs>
        <w:spacing w:after="0"/>
        <w:jc w:val="both"/>
        <w:rPr>
          <w:rFonts w:hint="eastAsia"/>
          <w:lang w:val="en-US" w:eastAsia="zh-CN"/>
        </w:rPr>
      </w:pPr>
      <w:r>
        <w:rPr>
          <w:rFonts w:hint="eastAsia"/>
          <w:lang w:val="en-US" w:eastAsia="zh-CN"/>
        </w:rPr>
        <w:t xml:space="preserve">According to the initial simulation results in the attached excel sheet, it seems that ACLR requirement around 45dBc for A-IoT BS for R2D transmission is sufficient to ensure the NR DL UE reception performance from coexistence sharing perspective. </w:t>
      </w:r>
    </w:p>
    <w:p>
      <w:p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xml:space="preserve">: for A-IoT BS ACLR requirement, propose to define it as 45dBc; </w:t>
      </w:r>
    </w:p>
    <w:p>
      <w:pPr>
        <w:tabs>
          <w:tab w:val="left" w:pos="2127"/>
        </w:tabs>
        <w:spacing w:after="0"/>
        <w:jc w:val="both"/>
        <w:rPr>
          <w:rFonts w:hint="eastAsia"/>
          <w:lang w:val="en-US" w:eastAsia="zh-CN"/>
        </w:rPr>
      </w:pPr>
      <w:r>
        <w:rPr>
          <w:rFonts w:hint="eastAsia"/>
          <w:lang w:val="en-US" w:eastAsia="zh-CN"/>
        </w:rPr>
        <w:t xml:space="preserve">According to the initial simulation results in the attached excel sheet, it need more discussions on A-IoT BS ACS requirement especially considering the NR UE within the indoor scenario with its maximum power transmission, this will cause significant negative impacts of A-IoT BS receiver performance. Currently, due to activated A-IoT device per indoor factory is only two, so co-channel interference from other device within the same factory is quite limited, however NR UE transmission leakage will have big impacts on A-IoT BS SINR degradation, this kind of degradation could be even observed when NR UE is located in the outdoor scenario with some penetration loss considered between aggressive NR UE and victim A-IoT BS receiver. </w:t>
      </w:r>
    </w:p>
    <w:p>
      <w:pPr>
        <w:tabs>
          <w:tab w:val="left" w:pos="2127"/>
        </w:tabs>
        <w:spacing w:after="0"/>
        <w:jc w:val="both"/>
        <w:rPr>
          <w:rFonts w:hint="default"/>
          <w:lang w:val="en-US" w:eastAsia="zh-CN"/>
        </w:rPr>
      </w:pPr>
      <w:r>
        <w:rPr>
          <w:rFonts w:hint="eastAsia"/>
          <w:b/>
          <w:bCs/>
          <w:lang w:val="en-US" w:eastAsia="zh-CN"/>
        </w:rPr>
        <w:t>Proposal 3</w:t>
      </w:r>
      <w:r>
        <w:rPr>
          <w:rFonts w:hint="eastAsia"/>
          <w:lang w:val="en-US" w:eastAsia="zh-CN"/>
        </w:rPr>
        <w:t xml:space="preserve">: need some further discussion on A-IoT BS ACS requirement. </w:t>
      </w: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coexistence evaluations and proposals are made as following: </w:t>
      </w:r>
    </w:p>
    <w:p>
      <w:p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xml:space="preserve"> use the in-band leakage as 17dBc for coexistence sharing study. </w:t>
      </w:r>
    </w:p>
    <w:p>
      <w:p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xml:space="preserve">: for A-IoT BS ACLR requirement, propose to define it as 45dBc; </w:t>
      </w:r>
    </w:p>
    <w:p>
      <w:pPr>
        <w:tabs>
          <w:tab w:val="left" w:pos="2127"/>
        </w:tabs>
        <w:spacing w:after="0"/>
        <w:jc w:val="both"/>
        <w:rPr>
          <w:rFonts w:hint="eastAsia" w:eastAsiaTheme="minorEastAsia"/>
          <w:lang w:val="en-US" w:eastAsia="zh-CN"/>
        </w:rPr>
      </w:pPr>
      <w:r>
        <w:rPr>
          <w:rFonts w:hint="eastAsia"/>
          <w:b/>
          <w:bCs/>
          <w:lang w:val="en-US" w:eastAsia="zh-CN"/>
        </w:rPr>
        <w:t>Proposal 3</w:t>
      </w:r>
      <w:r>
        <w:rPr>
          <w:rFonts w:hint="eastAsia"/>
          <w:lang w:val="en-US" w:eastAsia="zh-CN"/>
        </w:rPr>
        <w:t xml:space="preserve">: need some further discussion on A-IoT BS ACS requirement. </w:t>
      </w:r>
    </w:p>
    <w:p>
      <w:pPr>
        <w:pStyle w:val="58"/>
        <w:tabs>
          <w:tab w:val="left" w:pos="567"/>
          <w:tab w:val="clear" w:pos="1985"/>
        </w:tabs>
        <w:adjustRightInd w:val="0"/>
        <w:ind w:left="510" w:hanging="510"/>
        <w:rPr>
          <w:rFonts w:hint="eastAsia" w:ascii="Times New Roman" w:hAnsi="Times New Roman" w:eastAsia="宋体" w:cs="Times New Roman"/>
          <w:kern w:val="2"/>
          <w:sz w:val="20"/>
          <w:szCs w:val="20"/>
          <w:lang w:val="en-US" w:eastAsia="zh-CN" w:bidi="ar-SA"/>
        </w:rPr>
      </w:pPr>
      <w:r>
        <w:t>References</w:t>
      </w:r>
    </w:p>
    <w:p>
      <w:pPr>
        <w:pStyle w:val="56"/>
        <w:numPr>
          <w:ilvl w:val="0"/>
          <w:numId w:val="3"/>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RP-240826,Revised SID: Study on solutions for Ambient IoT (Internet of Things) in NR (CMCC), Approved.</w:t>
      </w:r>
    </w:p>
    <w:p>
      <w:pPr>
        <w:pStyle w:val="56"/>
        <w:numPr>
          <w:ilvl w:val="0"/>
          <w:numId w:val="3"/>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56"/>
        <w:numPr>
          <w:ilvl w:val="0"/>
          <w:numId w:val="3"/>
        </w:numPr>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"http://10.10.10.10/ftp/RAN/RAN4/Inbox/R4-2410567.zip"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R4-2410567</w:t>
      </w:r>
      <w:r>
        <w:rPr>
          <w:rFonts w:hint="eastAsia" w:ascii="Times New Roman" w:hAnsi="Times New Roman" w:eastAsia="宋体" w:cs="Times New Roman"/>
          <w:kern w:val="2"/>
          <w:sz w:val="20"/>
          <w:szCs w:val="20"/>
          <w:lang w:val="en-US" w:eastAsia="en-GB" w:bidi="ar-SA"/>
        </w:rPr>
        <w:fldChar w:fldCharType="end"/>
      </w:r>
      <w:r>
        <w:rPr>
          <w:rFonts w:hint="eastAsia"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co-existence study for ambient IoT and NR/LTE</w:t>
      </w:r>
      <w:r>
        <w:rPr>
          <w:rFonts w:hint="eastAsia" w:eastAsia="宋体" w:cs="Times New Roman"/>
          <w:kern w:val="2"/>
          <w:sz w:val="20"/>
          <w:szCs w:val="20"/>
          <w:lang w:val="en-US" w:eastAsia="zh-CN" w:bidi="ar-SA"/>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A461703"/>
    <w:multiLevelType w:val="multilevel"/>
    <w:tmpl w:val="4A461703"/>
    <w:lvl w:ilvl="0" w:tentative="0">
      <w:start w:val="1"/>
      <w:numFmt w:val="bullet"/>
      <w:lvlText w:val="-"/>
      <w:lvlJc w:val="left"/>
      <w:pPr>
        <w:ind w:left="440" w:hanging="440"/>
      </w:pPr>
      <w:rPr>
        <w:rFonts w:hint="default" w:ascii="Arial" w:hAnsi="Arial" w:eastAsia="宋体" w:cs="Aria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0E7CEE"/>
    <w:rsid w:val="01115B33"/>
    <w:rsid w:val="0112068B"/>
    <w:rsid w:val="01133912"/>
    <w:rsid w:val="01150B79"/>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21D8F"/>
    <w:rsid w:val="01864D3B"/>
    <w:rsid w:val="018B2CF0"/>
    <w:rsid w:val="018C2266"/>
    <w:rsid w:val="018C3642"/>
    <w:rsid w:val="018D7DCE"/>
    <w:rsid w:val="0195201D"/>
    <w:rsid w:val="019C3DA8"/>
    <w:rsid w:val="019E267E"/>
    <w:rsid w:val="01A402CD"/>
    <w:rsid w:val="01A742A2"/>
    <w:rsid w:val="01B330C9"/>
    <w:rsid w:val="01B616E6"/>
    <w:rsid w:val="01B94498"/>
    <w:rsid w:val="01BC64EC"/>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133A"/>
    <w:rsid w:val="035D2EB4"/>
    <w:rsid w:val="03651217"/>
    <w:rsid w:val="03687ADD"/>
    <w:rsid w:val="03696DA6"/>
    <w:rsid w:val="036A231E"/>
    <w:rsid w:val="03774924"/>
    <w:rsid w:val="03822F79"/>
    <w:rsid w:val="03854DBA"/>
    <w:rsid w:val="038B3715"/>
    <w:rsid w:val="039568DC"/>
    <w:rsid w:val="0395764C"/>
    <w:rsid w:val="039B69FD"/>
    <w:rsid w:val="03A32E58"/>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64384"/>
    <w:rsid w:val="05583DC1"/>
    <w:rsid w:val="05596D21"/>
    <w:rsid w:val="055A77BF"/>
    <w:rsid w:val="055C5DB2"/>
    <w:rsid w:val="055C75CE"/>
    <w:rsid w:val="05631D30"/>
    <w:rsid w:val="05687505"/>
    <w:rsid w:val="05734531"/>
    <w:rsid w:val="0575548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8F6575"/>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19C4"/>
    <w:rsid w:val="08C14001"/>
    <w:rsid w:val="08C35C18"/>
    <w:rsid w:val="08C83275"/>
    <w:rsid w:val="08CF2EF9"/>
    <w:rsid w:val="08D836B6"/>
    <w:rsid w:val="08D964D0"/>
    <w:rsid w:val="08E0454E"/>
    <w:rsid w:val="08E05424"/>
    <w:rsid w:val="08E104C7"/>
    <w:rsid w:val="08F10FA0"/>
    <w:rsid w:val="08F1525E"/>
    <w:rsid w:val="08F25D58"/>
    <w:rsid w:val="08F5200D"/>
    <w:rsid w:val="08F87A74"/>
    <w:rsid w:val="08F911CC"/>
    <w:rsid w:val="08FC18E8"/>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A2AEB"/>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138E2"/>
    <w:rsid w:val="0B22066E"/>
    <w:rsid w:val="0B2643BE"/>
    <w:rsid w:val="0B2B1908"/>
    <w:rsid w:val="0B2D66EE"/>
    <w:rsid w:val="0B3D5489"/>
    <w:rsid w:val="0B3F2432"/>
    <w:rsid w:val="0B452CDC"/>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375E3"/>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01E57"/>
    <w:rsid w:val="0BC739F0"/>
    <w:rsid w:val="0BD21910"/>
    <w:rsid w:val="0BDA3782"/>
    <w:rsid w:val="0BDB5584"/>
    <w:rsid w:val="0BE0026A"/>
    <w:rsid w:val="0BE03DAA"/>
    <w:rsid w:val="0BE17727"/>
    <w:rsid w:val="0BEC55E4"/>
    <w:rsid w:val="0BF427F9"/>
    <w:rsid w:val="0BF614B9"/>
    <w:rsid w:val="0C0476BF"/>
    <w:rsid w:val="0C0B2ABC"/>
    <w:rsid w:val="0C0C632D"/>
    <w:rsid w:val="0C120111"/>
    <w:rsid w:val="0C12447E"/>
    <w:rsid w:val="0C1D0A79"/>
    <w:rsid w:val="0C2966B3"/>
    <w:rsid w:val="0C2C1AE5"/>
    <w:rsid w:val="0C2D4CDB"/>
    <w:rsid w:val="0C37145B"/>
    <w:rsid w:val="0C3946F8"/>
    <w:rsid w:val="0C3C0AB0"/>
    <w:rsid w:val="0C455380"/>
    <w:rsid w:val="0C517DA1"/>
    <w:rsid w:val="0C52301A"/>
    <w:rsid w:val="0C536E96"/>
    <w:rsid w:val="0C573449"/>
    <w:rsid w:val="0C576E02"/>
    <w:rsid w:val="0C58208C"/>
    <w:rsid w:val="0C5D74AF"/>
    <w:rsid w:val="0C6038EF"/>
    <w:rsid w:val="0C654C73"/>
    <w:rsid w:val="0C663BE3"/>
    <w:rsid w:val="0C6D4FE5"/>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E7587"/>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5678D"/>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92184"/>
    <w:rsid w:val="0F3A630E"/>
    <w:rsid w:val="0F3B1C05"/>
    <w:rsid w:val="0F3B7D81"/>
    <w:rsid w:val="0F455F85"/>
    <w:rsid w:val="0F47212B"/>
    <w:rsid w:val="0F49564D"/>
    <w:rsid w:val="0F4D1918"/>
    <w:rsid w:val="0F502C70"/>
    <w:rsid w:val="0F5075AE"/>
    <w:rsid w:val="0F517CFE"/>
    <w:rsid w:val="0F521719"/>
    <w:rsid w:val="0F571705"/>
    <w:rsid w:val="0F577E74"/>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97F82"/>
    <w:rsid w:val="0FDA08D0"/>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5691E"/>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47426"/>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343F"/>
    <w:rsid w:val="10DF786B"/>
    <w:rsid w:val="10E43C3F"/>
    <w:rsid w:val="10EC75B1"/>
    <w:rsid w:val="10F33CC1"/>
    <w:rsid w:val="10FA45D2"/>
    <w:rsid w:val="10FD6E37"/>
    <w:rsid w:val="11024527"/>
    <w:rsid w:val="110A4489"/>
    <w:rsid w:val="11150F62"/>
    <w:rsid w:val="111A28E5"/>
    <w:rsid w:val="111D0087"/>
    <w:rsid w:val="111D46E5"/>
    <w:rsid w:val="111E5679"/>
    <w:rsid w:val="11217FA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81FEE"/>
    <w:rsid w:val="117824F0"/>
    <w:rsid w:val="117E2370"/>
    <w:rsid w:val="117F2E3D"/>
    <w:rsid w:val="11800455"/>
    <w:rsid w:val="11847341"/>
    <w:rsid w:val="118778A0"/>
    <w:rsid w:val="118F5855"/>
    <w:rsid w:val="118F5D6B"/>
    <w:rsid w:val="1193388F"/>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CE7F16"/>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37C80"/>
    <w:rsid w:val="12B43B19"/>
    <w:rsid w:val="12B5075C"/>
    <w:rsid w:val="12BA662B"/>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56B2D"/>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9B725D"/>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450F8"/>
    <w:rsid w:val="13D765AD"/>
    <w:rsid w:val="13D84274"/>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73433"/>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9B361E"/>
    <w:rsid w:val="15A80FDC"/>
    <w:rsid w:val="15AA7A19"/>
    <w:rsid w:val="15AC5259"/>
    <w:rsid w:val="15AE02B1"/>
    <w:rsid w:val="15AE46FA"/>
    <w:rsid w:val="15AE5475"/>
    <w:rsid w:val="15B06B12"/>
    <w:rsid w:val="15B21729"/>
    <w:rsid w:val="15B75136"/>
    <w:rsid w:val="15BE3D9D"/>
    <w:rsid w:val="15C02C76"/>
    <w:rsid w:val="15C4476E"/>
    <w:rsid w:val="15C61DCD"/>
    <w:rsid w:val="15CB73D1"/>
    <w:rsid w:val="15CE592F"/>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25DFD"/>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37C28"/>
    <w:rsid w:val="1848540C"/>
    <w:rsid w:val="18524B4C"/>
    <w:rsid w:val="18533B98"/>
    <w:rsid w:val="185546D2"/>
    <w:rsid w:val="18674D45"/>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20A0F"/>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39DB"/>
    <w:rsid w:val="19764535"/>
    <w:rsid w:val="198374F4"/>
    <w:rsid w:val="1989194D"/>
    <w:rsid w:val="19894C83"/>
    <w:rsid w:val="198C5D06"/>
    <w:rsid w:val="19A60D37"/>
    <w:rsid w:val="19A7296F"/>
    <w:rsid w:val="19AF232D"/>
    <w:rsid w:val="19B94DE5"/>
    <w:rsid w:val="19BB7983"/>
    <w:rsid w:val="19CA4702"/>
    <w:rsid w:val="19CD7D93"/>
    <w:rsid w:val="19D01D27"/>
    <w:rsid w:val="19D76F77"/>
    <w:rsid w:val="19DC3901"/>
    <w:rsid w:val="19DE7440"/>
    <w:rsid w:val="19E45BB3"/>
    <w:rsid w:val="19ED386F"/>
    <w:rsid w:val="19F90091"/>
    <w:rsid w:val="19F91F18"/>
    <w:rsid w:val="19FF1298"/>
    <w:rsid w:val="1A012F98"/>
    <w:rsid w:val="1A03072C"/>
    <w:rsid w:val="1A045B87"/>
    <w:rsid w:val="1A1F1382"/>
    <w:rsid w:val="1A203F61"/>
    <w:rsid w:val="1A210157"/>
    <w:rsid w:val="1A2364A1"/>
    <w:rsid w:val="1A2C794C"/>
    <w:rsid w:val="1A365F00"/>
    <w:rsid w:val="1A402130"/>
    <w:rsid w:val="1A462183"/>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20EE5"/>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91502"/>
    <w:rsid w:val="1B5D3106"/>
    <w:rsid w:val="1B633B7D"/>
    <w:rsid w:val="1B73181B"/>
    <w:rsid w:val="1B7906CE"/>
    <w:rsid w:val="1B7D07F3"/>
    <w:rsid w:val="1B831B2B"/>
    <w:rsid w:val="1B853A57"/>
    <w:rsid w:val="1B9219EE"/>
    <w:rsid w:val="1B9307F8"/>
    <w:rsid w:val="1B944685"/>
    <w:rsid w:val="1B945678"/>
    <w:rsid w:val="1B9B3AD0"/>
    <w:rsid w:val="1BA258AE"/>
    <w:rsid w:val="1BA57F07"/>
    <w:rsid w:val="1BA86B8C"/>
    <w:rsid w:val="1BAA3905"/>
    <w:rsid w:val="1BB01F6E"/>
    <w:rsid w:val="1BB31994"/>
    <w:rsid w:val="1BB5233F"/>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7284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E50760"/>
    <w:rsid w:val="1CF15683"/>
    <w:rsid w:val="1CF333A5"/>
    <w:rsid w:val="1CF53F65"/>
    <w:rsid w:val="1CFA57E6"/>
    <w:rsid w:val="1D023336"/>
    <w:rsid w:val="1D031DDA"/>
    <w:rsid w:val="1D0B731D"/>
    <w:rsid w:val="1D1C33A3"/>
    <w:rsid w:val="1D1D6A68"/>
    <w:rsid w:val="1D1F1D0C"/>
    <w:rsid w:val="1D2054C4"/>
    <w:rsid w:val="1D2279BD"/>
    <w:rsid w:val="1D24658B"/>
    <w:rsid w:val="1D2E77E8"/>
    <w:rsid w:val="1D457CE9"/>
    <w:rsid w:val="1D470795"/>
    <w:rsid w:val="1D4969F4"/>
    <w:rsid w:val="1D4C117F"/>
    <w:rsid w:val="1D513E68"/>
    <w:rsid w:val="1D563E2F"/>
    <w:rsid w:val="1D587FD7"/>
    <w:rsid w:val="1D5A17CD"/>
    <w:rsid w:val="1D5A3689"/>
    <w:rsid w:val="1D5E036D"/>
    <w:rsid w:val="1D6033FE"/>
    <w:rsid w:val="1D684015"/>
    <w:rsid w:val="1D6B5AD7"/>
    <w:rsid w:val="1D6F79AF"/>
    <w:rsid w:val="1D7877C5"/>
    <w:rsid w:val="1D7C6E19"/>
    <w:rsid w:val="1D7D5506"/>
    <w:rsid w:val="1D864D41"/>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468E8"/>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EE084B"/>
    <w:rsid w:val="1EF9792C"/>
    <w:rsid w:val="1F002DCD"/>
    <w:rsid w:val="1F0D14F3"/>
    <w:rsid w:val="1F0E3B92"/>
    <w:rsid w:val="1F120D07"/>
    <w:rsid w:val="1F141EF2"/>
    <w:rsid w:val="1F2702EE"/>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12BD"/>
    <w:rsid w:val="201C304F"/>
    <w:rsid w:val="201C690F"/>
    <w:rsid w:val="20263D53"/>
    <w:rsid w:val="20275ED1"/>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647D"/>
    <w:rsid w:val="21647076"/>
    <w:rsid w:val="216C54DE"/>
    <w:rsid w:val="216E4095"/>
    <w:rsid w:val="217106CC"/>
    <w:rsid w:val="21741E6D"/>
    <w:rsid w:val="217C7971"/>
    <w:rsid w:val="217D44BC"/>
    <w:rsid w:val="21840F69"/>
    <w:rsid w:val="21852244"/>
    <w:rsid w:val="218F61F1"/>
    <w:rsid w:val="21936BCB"/>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447A5"/>
    <w:rsid w:val="21C83388"/>
    <w:rsid w:val="21CA711F"/>
    <w:rsid w:val="21CB0E2A"/>
    <w:rsid w:val="21D06D34"/>
    <w:rsid w:val="21D372BD"/>
    <w:rsid w:val="21D413E2"/>
    <w:rsid w:val="21D47A13"/>
    <w:rsid w:val="21D52CEC"/>
    <w:rsid w:val="21D83EFE"/>
    <w:rsid w:val="21DC7859"/>
    <w:rsid w:val="21ED7025"/>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C746AF"/>
    <w:rsid w:val="22C95B3D"/>
    <w:rsid w:val="22D141D7"/>
    <w:rsid w:val="22D41540"/>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6746F"/>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020A"/>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AE43C1"/>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023A4"/>
    <w:rsid w:val="276142AB"/>
    <w:rsid w:val="27621C7A"/>
    <w:rsid w:val="27625732"/>
    <w:rsid w:val="27631640"/>
    <w:rsid w:val="276320D7"/>
    <w:rsid w:val="276F3D3A"/>
    <w:rsid w:val="27711B2C"/>
    <w:rsid w:val="27727EB7"/>
    <w:rsid w:val="27744B4E"/>
    <w:rsid w:val="277A5E6A"/>
    <w:rsid w:val="277E547B"/>
    <w:rsid w:val="278A6416"/>
    <w:rsid w:val="278D11DB"/>
    <w:rsid w:val="279408D2"/>
    <w:rsid w:val="279A1B15"/>
    <w:rsid w:val="279A2ED3"/>
    <w:rsid w:val="279C73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60C94"/>
    <w:rsid w:val="280A73A7"/>
    <w:rsid w:val="280B0292"/>
    <w:rsid w:val="281035C6"/>
    <w:rsid w:val="28140E2A"/>
    <w:rsid w:val="28201F93"/>
    <w:rsid w:val="2824417F"/>
    <w:rsid w:val="28255041"/>
    <w:rsid w:val="282B1213"/>
    <w:rsid w:val="2835725E"/>
    <w:rsid w:val="283832F0"/>
    <w:rsid w:val="283A1E3E"/>
    <w:rsid w:val="283F0B9A"/>
    <w:rsid w:val="284543A1"/>
    <w:rsid w:val="284B01FC"/>
    <w:rsid w:val="28506F1C"/>
    <w:rsid w:val="285465E8"/>
    <w:rsid w:val="28553E1D"/>
    <w:rsid w:val="2859475D"/>
    <w:rsid w:val="2866568E"/>
    <w:rsid w:val="28693318"/>
    <w:rsid w:val="286B3B61"/>
    <w:rsid w:val="286C6B63"/>
    <w:rsid w:val="286D43F4"/>
    <w:rsid w:val="286F5A89"/>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1C21"/>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61BD5"/>
    <w:rsid w:val="2A2F350E"/>
    <w:rsid w:val="2A374404"/>
    <w:rsid w:val="2A3B063B"/>
    <w:rsid w:val="2A3E15CC"/>
    <w:rsid w:val="2A480FED"/>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317FC"/>
    <w:rsid w:val="2A770CC7"/>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043F8"/>
    <w:rsid w:val="2AD62AB0"/>
    <w:rsid w:val="2ADC1447"/>
    <w:rsid w:val="2ADE1583"/>
    <w:rsid w:val="2AE70523"/>
    <w:rsid w:val="2AE87E10"/>
    <w:rsid w:val="2AEF2A8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6787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6B7E73"/>
    <w:rsid w:val="2C72088D"/>
    <w:rsid w:val="2C7A3BB0"/>
    <w:rsid w:val="2C7A4688"/>
    <w:rsid w:val="2C7B3727"/>
    <w:rsid w:val="2C7D6665"/>
    <w:rsid w:val="2C7E0668"/>
    <w:rsid w:val="2C7E4570"/>
    <w:rsid w:val="2C865A05"/>
    <w:rsid w:val="2C8B0557"/>
    <w:rsid w:val="2C982697"/>
    <w:rsid w:val="2C9A28D3"/>
    <w:rsid w:val="2C9F1C78"/>
    <w:rsid w:val="2CB51032"/>
    <w:rsid w:val="2CBC4209"/>
    <w:rsid w:val="2CC12D54"/>
    <w:rsid w:val="2CC9742A"/>
    <w:rsid w:val="2CCB3003"/>
    <w:rsid w:val="2CD06DD8"/>
    <w:rsid w:val="2CD17849"/>
    <w:rsid w:val="2CD47078"/>
    <w:rsid w:val="2CDA4FDA"/>
    <w:rsid w:val="2CDC7091"/>
    <w:rsid w:val="2CE128DC"/>
    <w:rsid w:val="2CE16D71"/>
    <w:rsid w:val="2CE27F26"/>
    <w:rsid w:val="2CEC72E2"/>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6226AF"/>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6490B"/>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B6916"/>
    <w:rsid w:val="2F2F3D52"/>
    <w:rsid w:val="2F3B7B8B"/>
    <w:rsid w:val="2F3D481A"/>
    <w:rsid w:val="2F407763"/>
    <w:rsid w:val="2F417C99"/>
    <w:rsid w:val="2F44254B"/>
    <w:rsid w:val="2F4530B9"/>
    <w:rsid w:val="2F47449B"/>
    <w:rsid w:val="2F4B7821"/>
    <w:rsid w:val="2F4D774F"/>
    <w:rsid w:val="2F4F73A3"/>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B218F"/>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C199A"/>
    <w:rsid w:val="302E1CAD"/>
    <w:rsid w:val="302F0C7E"/>
    <w:rsid w:val="30354430"/>
    <w:rsid w:val="30365E36"/>
    <w:rsid w:val="303B62EC"/>
    <w:rsid w:val="303F616B"/>
    <w:rsid w:val="304219C4"/>
    <w:rsid w:val="3042736A"/>
    <w:rsid w:val="3045713F"/>
    <w:rsid w:val="30486EA7"/>
    <w:rsid w:val="304F02D9"/>
    <w:rsid w:val="30500A5C"/>
    <w:rsid w:val="305447A9"/>
    <w:rsid w:val="305F558E"/>
    <w:rsid w:val="306B4848"/>
    <w:rsid w:val="30752E77"/>
    <w:rsid w:val="308018A6"/>
    <w:rsid w:val="30804E19"/>
    <w:rsid w:val="3090288F"/>
    <w:rsid w:val="30921E98"/>
    <w:rsid w:val="30980908"/>
    <w:rsid w:val="30980DA8"/>
    <w:rsid w:val="309B0CFB"/>
    <w:rsid w:val="309B2EEC"/>
    <w:rsid w:val="309E4272"/>
    <w:rsid w:val="309F47CA"/>
    <w:rsid w:val="30AE56DC"/>
    <w:rsid w:val="30B7307E"/>
    <w:rsid w:val="30BB5407"/>
    <w:rsid w:val="30BF034E"/>
    <w:rsid w:val="30C21A0E"/>
    <w:rsid w:val="30CC6F9C"/>
    <w:rsid w:val="30DC45E8"/>
    <w:rsid w:val="30DD6027"/>
    <w:rsid w:val="30DE16AB"/>
    <w:rsid w:val="30E1221A"/>
    <w:rsid w:val="30E734EF"/>
    <w:rsid w:val="30EB4922"/>
    <w:rsid w:val="30EF220B"/>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04BC"/>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8698E"/>
    <w:rsid w:val="32390E17"/>
    <w:rsid w:val="323E5B9E"/>
    <w:rsid w:val="324968A9"/>
    <w:rsid w:val="324C11A1"/>
    <w:rsid w:val="324F1DD8"/>
    <w:rsid w:val="324F61E6"/>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A4938"/>
    <w:rsid w:val="326B7BBB"/>
    <w:rsid w:val="326D38F7"/>
    <w:rsid w:val="3272101B"/>
    <w:rsid w:val="32722131"/>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D5BB1"/>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A0536"/>
    <w:rsid w:val="333E0FE1"/>
    <w:rsid w:val="333F0B89"/>
    <w:rsid w:val="333F4C47"/>
    <w:rsid w:val="333F6941"/>
    <w:rsid w:val="33444CAD"/>
    <w:rsid w:val="334D7767"/>
    <w:rsid w:val="335C246D"/>
    <w:rsid w:val="33610DDA"/>
    <w:rsid w:val="3362171F"/>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EC6E68"/>
    <w:rsid w:val="34F83EF3"/>
    <w:rsid w:val="34F953E0"/>
    <w:rsid w:val="34FB3AF7"/>
    <w:rsid w:val="34FF2166"/>
    <w:rsid w:val="3503286C"/>
    <w:rsid w:val="350A773D"/>
    <w:rsid w:val="350B4102"/>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C4A97"/>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3FC6"/>
    <w:rsid w:val="362952D6"/>
    <w:rsid w:val="36297754"/>
    <w:rsid w:val="362F3A87"/>
    <w:rsid w:val="363210F7"/>
    <w:rsid w:val="363A56B5"/>
    <w:rsid w:val="363F4D43"/>
    <w:rsid w:val="3640112F"/>
    <w:rsid w:val="36407BF2"/>
    <w:rsid w:val="36486576"/>
    <w:rsid w:val="364A08D8"/>
    <w:rsid w:val="364B2312"/>
    <w:rsid w:val="364F7BB1"/>
    <w:rsid w:val="365050C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6FA13B3"/>
    <w:rsid w:val="37002C93"/>
    <w:rsid w:val="37021B28"/>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96963"/>
    <w:rsid w:val="377A5D14"/>
    <w:rsid w:val="378075A4"/>
    <w:rsid w:val="3783595B"/>
    <w:rsid w:val="37840F0B"/>
    <w:rsid w:val="37860077"/>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CE0E01"/>
    <w:rsid w:val="37D644F2"/>
    <w:rsid w:val="37D913AF"/>
    <w:rsid w:val="37E22653"/>
    <w:rsid w:val="37ED5E3A"/>
    <w:rsid w:val="37EF1B98"/>
    <w:rsid w:val="37F311D3"/>
    <w:rsid w:val="37F7242F"/>
    <w:rsid w:val="37FD1EC6"/>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15006"/>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A0C"/>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4A8E"/>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34F0C"/>
    <w:rsid w:val="3B3A132E"/>
    <w:rsid w:val="3B456D7F"/>
    <w:rsid w:val="3B517555"/>
    <w:rsid w:val="3B5253E4"/>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14C5"/>
    <w:rsid w:val="3B87311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6250D"/>
    <w:rsid w:val="3C591787"/>
    <w:rsid w:val="3C5C66F4"/>
    <w:rsid w:val="3C5F3192"/>
    <w:rsid w:val="3C5F34EC"/>
    <w:rsid w:val="3C64689F"/>
    <w:rsid w:val="3C676A33"/>
    <w:rsid w:val="3C6E7D4D"/>
    <w:rsid w:val="3C740DAA"/>
    <w:rsid w:val="3C750E34"/>
    <w:rsid w:val="3C7A7CE8"/>
    <w:rsid w:val="3C7E65EC"/>
    <w:rsid w:val="3C812838"/>
    <w:rsid w:val="3C826AA5"/>
    <w:rsid w:val="3C833EA4"/>
    <w:rsid w:val="3C8555A2"/>
    <w:rsid w:val="3C867450"/>
    <w:rsid w:val="3C915B7E"/>
    <w:rsid w:val="3C971009"/>
    <w:rsid w:val="3C9E64A0"/>
    <w:rsid w:val="3CA159BD"/>
    <w:rsid w:val="3CA41337"/>
    <w:rsid w:val="3CA95FB0"/>
    <w:rsid w:val="3CAA38C3"/>
    <w:rsid w:val="3CAA5481"/>
    <w:rsid w:val="3CAC1109"/>
    <w:rsid w:val="3CB338D6"/>
    <w:rsid w:val="3CB36CF4"/>
    <w:rsid w:val="3CB50EC3"/>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7670E"/>
    <w:rsid w:val="3D4A3942"/>
    <w:rsid w:val="3D4D7CF8"/>
    <w:rsid w:val="3D58163A"/>
    <w:rsid w:val="3D5A05E2"/>
    <w:rsid w:val="3D5C63D4"/>
    <w:rsid w:val="3D5E50E6"/>
    <w:rsid w:val="3D5F6029"/>
    <w:rsid w:val="3D611CC7"/>
    <w:rsid w:val="3D6223C0"/>
    <w:rsid w:val="3D641D7A"/>
    <w:rsid w:val="3D6E7757"/>
    <w:rsid w:val="3D7335E1"/>
    <w:rsid w:val="3D7618FA"/>
    <w:rsid w:val="3D766E42"/>
    <w:rsid w:val="3D791797"/>
    <w:rsid w:val="3D807BCD"/>
    <w:rsid w:val="3D82057E"/>
    <w:rsid w:val="3D823565"/>
    <w:rsid w:val="3D832B00"/>
    <w:rsid w:val="3D8522AA"/>
    <w:rsid w:val="3D8A0C19"/>
    <w:rsid w:val="3D917A42"/>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A5671"/>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6640"/>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3A7EA2"/>
    <w:rsid w:val="3F3C6744"/>
    <w:rsid w:val="3F421D47"/>
    <w:rsid w:val="3F441B08"/>
    <w:rsid w:val="3F4A4087"/>
    <w:rsid w:val="3F4F72FB"/>
    <w:rsid w:val="3F5361F5"/>
    <w:rsid w:val="3F555F0F"/>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77F5A"/>
    <w:rsid w:val="3FBB4BEF"/>
    <w:rsid w:val="3FBE30B8"/>
    <w:rsid w:val="3FCF604C"/>
    <w:rsid w:val="3FD210AC"/>
    <w:rsid w:val="3FD3664E"/>
    <w:rsid w:val="3FD53CFE"/>
    <w:rsid w:val="3FD9316A"/>
    <w:rsid w:val="3FDB206A"/>
    <w:rsid w:val="3FE1096B"/>
    <w:rsid w:val="3FE210C1"/>
    <w:rsid w:val="3FE417DA"/>
    <w:rsid w:val="3FEB1C22"/>
    <w:rsid w:val="3FEB336E"/>
    <w:rsid w:val="3FED1519"/>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56901"/>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1D111C"/>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94683"/>
    <w:rsid w:val="416C15E7"/>
    <w:rsid w:val="416E039C"/>
    <w:rsid w:val="416E1B43"/>
    <w:rsid w:val="417727AB"/>
    <w:rsid w:val="417F7393"/>
    <w:rsid w:val="41800377"/>
    <w:rsid w:val="41804025"/>
    <w:rsid w:val="41835B7D"/>
    <w:rsid w:val="418B26ED"/>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A257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0682D"/>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6F292D"/>
    <w:rsid w:val="437D6585"/>
    <w:rsid w:val="437F424C"/>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40841"/>
    <w:rsid w:val="4476407C"/>
    <w:rsid w:val="447B4A66"/>
    <w:rsid w:val="447D4136"/>
    <w:rsid w:val="448046DC"/>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EB1931"/>
    <w:rsid w:val="44F248E6"/>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8014B"/>
    <w:rsid w:val="460D3781"/>
    <w:rsid w:val="461B7F64"/>
    <w:rsid w:val="461F36FD"/>
    <w:rsid w:val="462D4B2D"/>
    <w:rsid w:val="462E4FF5"/>
    <w:rsid w:val="46326F58"/>
    <w:rsid w:val="46365246"/>
    <w:rsid w:val="463E1C6A"/>
    <w:rsid w:val="46413001"/>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EE73D1"/>
    <w:rsid w:val="46F37479"/>
    <w:rsid w:val="46F43423"/>
    <w:rsid w:val="46FC2FE8"/>
    <w:rsid w:val="47033281"/>
    <w:rsid w:val="47065799"/>
    <w:rsid w:val="47073BE8"/>
    <w:rsid w:val="470872CF"/>
    <w:rsid w:val="470D53CA"/>
    <w:rsid w:val="47112FF6"/>
    <w:rsid w:val="471354C1"/>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B5A1B"/>
    <w:rsid w:val="481E5F8D"/>
    <w:rsid w:val="48204877"/>
    <w:rsid w:val="482B39B5"/>
    <w:rsid w:val="482D350F"/>
    <w:rsid w:val="4835046F"/>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C218B"/>
    <w:rsid w:val="48EA0E66"/>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109D8"/>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516A2"/>
    <w:rsid w:val="49CE0C89"/>
    <w:rsid w:val="49D93C20"/>
    <w:rsid w:val="49DA3FD3"/>
    <w:rsid w:val="49DA7AB7"/>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D3660"/>
    <w:rsid w:val="4A2E7749"/>
    <w:rsid w:val="4A381BA6"/>
    <w:rsid w:val="4A3926E2"/>
    <w:rsid w:val="4A4172CE"/>
    <w:rsid w:val="4A43236C"/>
    <w:rsid w:val="4A4A176A"/>
    <w:rsid w:val="4A5370A6"/>
    <w:rsid w:val="4A593DE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D62EB"/>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44500D"/>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83537"/>
    <w:rsid w:val="4D497768"/>
    <w:rsid w:val="4D4A2E46"/>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22BF5"/>
    <w:rsid w:val="4D986B63"/>
    <w:rsid w:val="4D9B5A29"/>
    <w:rsid w:val="4DA53BC8"/>
    <w:rsid w:val="4DA72415"/>
    <w:rsid w:val="4DB056F4"/>
    <w:rsid w:val="4DB41824"/>
    <w:rsid w:val="4DB95A69"/>
    <w:rsid w:val="4DBD1F3A"/>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D5D1D"/>
    <w:rsid w:val="4E1E7D0E"/>
    <w:rsid w:val="4E210A5C"/>
    <w:rsid w:val="4E2C6A36"/>
    <w:rsid w:val="4E332689"/>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B2350"/>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43616"/>
    <w:rsid w:val="4FBA52BE"/>
    <w:rsid w:val="4FBA74EE"/>
    <w:rsid w:val="4FBB5569"/>
    <w:rsid w:val="4FBF1E32"/>
    <w:rsid w:val="4FC803AA"/>
    <w:rsid w:val="4FCB45DF"/>
    <w:rsid w:val="4FCF2495"/>
    <w:rsid w:val="4FD365FC"/>
    <w:rsid w:val="4FD62D61"/>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A0599"/>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00144"/>
    <w:rsid w:val="52063C95"/>
    <w:rsid w:val="52073487"/>
    <w:rsid w:val="520A7B89"/>
    <w:rsid w:val="520E648E"/>
    <w:rsid w:val="520F50CF"/>
    <w:rsid w:val="521C5D43"/>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90A90"/>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16550"/>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E6C32"/>
    <w:rsid w:val="551C2E90"/>
    <w:rsid w:val="552D52C7"/>
    <w:rsid w:val="553343DC"/>
    <w:rsid w:val="55397CF2"/>
    <w:rsid w:val="5546565D"/>
    <w:rsid w:val="554E0863"/>
    <w:rsid w:val="555737A6"/>
    <w:rsid w:val="55577AFF"/>
    <w:rsid w:val="55597711"/>
    <w:rsid w:val="55611FED"/>
    <w:rsid w:val="55640BD4"/>
    <w:rsid w:val="556C1CC4"/>
    <w:rsid w:val="55712540"/>
    <w:rsid w:val="557238F3"/>
    <w:rsid w:val="55731953"/>
    <w:rsid w:val="55743D64"/>
    <w:rsid w:val="5577741D"/>
    <w:rsid w:val="557C7C08"/>
    <w:rsid w:val="557E261A"/>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96495C"/>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84B98"/>
    <w:rsid w:val="57292292"/>
    <w:rsid w:val="572B7BB5"/>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1B25"/>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F18E4"/>
    <w:rsid w:val="58A26665"/>
    <w:rsid w:val="58A948C8"/>
    <w:rsid w:val="58B156C4"/>
    <w:rsid w:val="58B47394"/>
    <w:rsid w:val="58B7361D"/>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D12"/>
    <w:rsid w:val="59094784"/>
    <w:rsid w:val="591A5DA5"/>
    <w:rsid w:val="59251885"/>
    <w:rsid w:val="59255E05"/>
    <w:rsid w:val="59267EF0"/>
    <w:rsid w:val="59287A6A"/>
    <w:rsid w:val="592C2EB2"/>
    <w:rsid w:val="59376E4C"/>
    <w:rsid w:val="59421F7E"/>
    <w:rsid w:val="59424509"/>
    <w:rsid w:val="594935F2"/>
    <w:rsid w:val="594C2750"/>
    <w:rsid w:val="59595860"/>
    <w:rsid w:val="595C0946"/>
    <w:rsid w:val="59600ECA"/>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C41A6"/>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445B5"/>
    <w:rsid w:val="5B2559CC"/>
    <w:rsid w:val="5B2A41C4"/>
    <w:rsid w:val="5B2B5E52"/>
    <w:rsid w:val="5B3E0A56"/>
    <w:rsid w:val="5B431363"/>
    <w:rsid w:val="5B47077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82B12"/>
    <w:rsid w:val="5C8F19C2"/>
    <w:rsid w:val="5C9A6016"/>
    <w:rsid w:val="5CA57043"/>
    <w:rsid w:val="5CA66EFC"/>
    <w:rsid w:val="5CB157B0"/>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3727"/>
    <w:rsid w:val="5D915AFD"/>
    <w:rsid w:val="5D9404A9"/>
    <w:rsid w:val="5D9A23F4"/>
    <w:rsid w:val="5D9C1A05"/>
    <w:rsid w:val="5D9F6617"/>
    <w:rsid w:val="5D9F7C74"/>
    <w:rsid w:val="5DA45F90"/>
    <w:rsid w:val="5DAE2E8C"/>
    <w:rsid w:val="5DAE7F34"/>
    <w:rsid w:val="5DB42E5D"/>
    <w:rsid w:val="5DB65502"/>
    <w:rsid w:val="5DB906BB"/>
    <w:rsid w:val="5DC41A63"/>
    <w:rsid w:val="5DC7688B"/>
    <w:rsid w:val="5DD70750"/>
    <w:rsid w:val="5DD946FC"/>
    <w:rsid w:val="5DDA1FA8"/>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5E5A"/>
    <w:rsid w:val="5E803D55"/>
    <w:rsid w:val="5E854DAE"/>
    <w:rsid w:val="5E88203D"/>
    <w:rsid w:val="5E92177F"/>
    <w:rsid w:val="5EA36A9B"/>
    <w:rsid w:val="5EA42C37"/>
    <w:rsid w:val="5EA648E2"/>
    <w:rsid w:val="5EA71C01"/>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E3130"/>
    <w:rsid w:val="5FF744A9"/>
    <w:rsid w:val="5FF76947"/>
    <w:rsid w:val="5FFB17C7"/>
    <w:rsid w:val="5FFE6C22"/>
    <w:rsid w:val="60000309"/>
    <w:rsid w:val="6007630E"/>
    <w:rsid w:val="600A3D1A"/>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7E7F1E"/>
    <w:rsid w:val="60830460"/>
    <w:rsid w:val="6085543E"/>
    <w:rsid w:val="608760CA"/>
    <w:rsid w:val="608B5C80"/>
    <w:rsid w:val="60907882"/>
    <w:rsid w:val="609258F0"/>
    <w:rsid w:val="6093287A"/>
    <w:rsid w:val="609517E9"/>
    <w:rsid w:val="60964A1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03AA7"/>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73071"/>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6B7D"/>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7E4C0D"/>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AD0717"/>
    <w:rsid w:val="63AE686C"/>
    <w:rsid w:val="63B02C42"/>
    <w:rsid w:val="63BE6D07"/>
    <w:rsid w:val="63C1033A"/>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1E48A8"/>
    <w:rsid w:val="64225C1C"/>
    <w:rsid w:val="642437E9"/>
    <w:rsid w:val="64340283"/>
    <w:rsid w:val="64340FCD"/>
    <w:rsid w:val="64377182"/>
    <w:rsid w:val="643B7181"/>
    <w:rsid w:val="643E4883"/>
    <w:rsid w:val="643F3FFC"/>
    <w:rsid w:val="64467E26"/>
    <w:rsid w:val="64491828"/>
    <w:rsid w:val="644A69BC"/>
    <w:rsid w:val="644C372C"/>
    <w:rsid w:val="644F5348"/>
    <w:rsid w:val="64521327"/>
    <w:rsid w:val="645256C0"/>
    <w:rsid w:val="6459725F"/>
    <w:rsid w:val="645B5DC0"/>
    <w:rsid w:val="645D3A6B"/>
    <w:rsid w:val="64613F6F"/>
    <w:rsid w:val="646310B8"/>
    <w:rsid w:val="646A06E2"/>
    <w:rsid w:val="646C4EF1"/>
    <w:rsid w:val="646C4FB8"/>
    <w:rsid w:val="646D2F37"/>
    <w:rsid w:val="64706C6F"/>
    <w:rsid w:val="6471159B"/>
    <w:rsid w:val="64814078"/>
    <w:rsid w:val="6483791E"/>
    <w:rsid w:val="648B777B"/>
    <w:rsid w:val="648F1CFA"/>
    <w:rsid w:val="64937D17"/>
    <w:rsid w:val="6494650D"/>
    <w:rsid w:val="64984C13"/>
    <w:rsid w:val="649A6134"/>
    <w:rsid w:val="649D2569"/>
    <w:rsid w:val="64A157DA"/>
    <w:rsid w:val="64A32650"/>
    <w:rsid w:val="64A51362"/>
    <w:rsid w:val="64A55A03"/>
    <w:rsid w:val="64A62D1B"/>
    <w:rsid w:val="64A860F2"/>
    <w:rsid w:val="64AD4200"/>
    <w:rsid w:val="64AF09FF"/>
    <w:rsid w:val="64B14BC2"/>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B09EE"/>
    <w:rsid w:val="651C38DB"/>
    <w:rsid w:val="65201F4F"/>
    <w:rsid w:val="65204394"/>
    <w:rsid w:val="652133D2"/>
    <w:rsid w:val="6522790C"/>
    <w:rsid w:val="652A11D7"/>
    <w:rsid w:val="652C76EF"/>
    <w:rsid w:val="652D6A57"/>
    <w:rsid w:val="653B41A7"/>
    <w:rsid w:val="653E78B1"/>
    <w:rsid w:val="65403733"/>
    <w:rsid w:val="654066D8"/>
    <w:rsid w:val="654266AF"/>
    <w:rsid w:val="65427957"/>
    <w:rsid w:val="65430291"/>
    <w:rsid w:val="654468BF"/>
    <w:rsid w:val="65485D1B"/>
    <w:rsid w:val="654D64C6"/>
    <w:rsid w:val="65503BB9"/>
    <w:rsid w:val="655754CB"/>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4683A"/>
    <w:rsid w:val="66252267"/>
    <w:rsid w:val="662A64F9"/>
    <w:rsid w:val="662D2EA4"/>
    <w:rsid w:val="662F2BB7"/>
    <w:rsid w:val="6631571B"/>
    <w:rsid w:val="663D054E"/>
    <w:rsid w:val="66460692"/>
    <w:rsid w:val="664D3B44"/>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21BA7"/>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2DD9"/>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BA17EC"/>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341A2"/>
    <w:rsid w:val="685465AC"/>
    <w:rsid w:val="68650339"/>
    <w:rsid w:val="68651915"/>
    <w:rsid w:val="68670AE1"/>
    <w:rsid w:val="68733F18"/>
    <w:rsid w:val="687442EE"/>
    <w:rsid w:val="68756BE6"/>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D611E"/>
    <w:rsid w:val="68BF0078"/>
    <w:rsid w:val="68C04067"/>
    <w:rsid w:val="68C20D16"/>
    <w:rsid w:val="68CA4525"/>
    <w:rsid w:val="68D222EB"/>
    <w:rsid w:val="68D94717"/>
    <w:rsid w:val="68DD619B"/>
    <w:rsid w:val="68EC3A15"/>
    <w:rsid w:val="68ED69A7"/>
    <w:rsid w:val="68FD5593"/>
    <w:rsid w:val="69032565"/>
    <w:rsid w:val="690616DE"/>
    <w:rsid w:val="69073414"/>
    <w:rsid w:val="690C4501"/>
    <w:rsid w:val="690C60F7"/>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31E1"/>
    <w:rsid w:val="695048C2"/>
    <w:rsid w:val="6951205B"/>
    <w:rsid w:val="6953741D"/>
    <w:rsid w:val="69552B47"/>
    <w:rsid w:val="6956014F"/>
    <w:rsid w:val="696077C1"/>
    <w:rsid w:val="696F3842"/>
    <w:rsid w:val="69713E8B"/>
    <w:rsid w:val="69731101"/>
    <w:rsid w:val="6974083C"/>
    <w:rsid w:val="697B43D3"/>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44705"/>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9118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661B1"/>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D3D5C"/>
    <w:rsid w:val="6D5E64E8"/>
    <w:rsid w:val="6D621A21"/>
    <w:rsid w:val="6D637EC6"/>
    <w:rsid w:val="6D652ED0"/>
    <w:rsid w:val="6D662717"/>
    <w:rsid w:val="6D663299"/>
    <w:rsid w:val="6D6A00D7"/>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6740D"/>
    <w:rsid w:val="6DF92BCB"/>
    <w:rsid w:val="6DFB06CC"/>
    <w:rsid w:val="6DFD48F6"/>
    <w:rsid w:val="6E035B81"/>
    <w:rsid w:val="6E0F0D37"/>
    <w:rsid w:val="6E0F320E"/>
    <w:rsid w:val="6E1058C0"/>
    <w:rsid w:val="6E112785"/>
    <w:rsid w:val="6E114B44"/>
    <w:rsid w:val="6E131686"/>
    <w:rsid w:val="6E163C98"/>
    <w:rsid w:val="6E1B4CD0"/>
    <w:rsid w:val="6E1C2489"/>
    <w:rsid w:val="6E1D776A"/>
    <w:rsid w:val="6E1E40CF"/>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F1069"/>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B64EB"/>
    <w:rsid w:val="6F447F07"/>
    <w:rsid w:val="6F4876AF"/>
    <w:rsid w:val="6F4B098C"/>
    <w:rsid w:val="6F537FC0"/>
    <w:rsid w:val="6F5E3CAA"/>
    <w:rsid w:val="6F5F4B14"/>
    <w:rsid w:val="6F607895"/>
    <w:rsid w:val="6F61040C"/>
    <w:rsid w:val="6F6776E1"/>
    <w:rsid w:val="6F6C4DFE"/>
    <w:rsid w:val="6F6D2EDC"/>
    <w:rsid w:val="6F702CF5"/>
    <w:rsid w:val="6F714EFF"/>
    <w:rsid w:val="6F7A0C79"/>
    <w:rsid w:val="6F7E1B78"/>
    <w:rsid w:val="6F967ACA"/>
    <w:rsid w:val="6F9A21ED"/>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A1AFA"/>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607C8"/>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23BFB"/>
    <w:rsid w:val="71031632"/>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1042"/>
    <w:rsid w:val="727334E4"/>
    <w:rsid w:val="72737951"/>
    <w:rsid w:val="72756082"/>
    <w:rsid w:val="72756E06"/>
    <w:rsid w:val="72772DDB"/>
    <w:rsid w:val="72796D22"/>
    <w:rsid w:val="727B2E39"/>
    <w:rsid w:val="72805AF5"/>
    <w:rsid w:val="72817EEF"/>
    <w:rsid w:val="72827328"/>
    <w:rsid w:val="72827920"/>
    <w:rsid w:val="728B2CA4"/>
    <w:rsid w:val="728B509F"/>
    <w:rsid w:val="728F0A31"/>
    <w:rsid w:val="72956B6B"/>
    <w:rsid w:val="7299539E"/>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586B"/>
    <w:rsid w:val="7320175D"/>
    <w:rsid w:val="73254DFB"/>
    <w:rsid w:val="7326097A"/>
    <w:rsid w:val="73267BB8"/>
    <w:rsid w:val="732A4A9B"/>
    <w:rsid w:val="733202B6"/>
    <w:rsid w:val="73323775"/>
    <w:rsid w:val="73343997"/>
    <w:rsid w:val="73370B0A"/>
    <w:rsid w:val="733A0C17"/>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A22D0C"/>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A0965"/>
    <w:rsid w:val="742D019C"/>
    <w:rsid w:val="742D6DB6"/>
    <w:rsid w:val="742E6655"/>
    <w:rsid w:val="742E74D7"/>
    <w:rsid w:val="744642D9"/>
    <w:rsid w:val="74522D94"/>
    <w:rsid w:val="7467225C"/>
    <w:rsid w:val="746B086B"/>
    <w:rsid w:val="746B2FD5"/>
    <w:rsid w:val="746C430C"/>
    <w:rsid w:val="746D6628"/>
    <w:rsid w:val="74712155"/>
    <w:rsid w:val="74775754"/>
    <w:rsid w:val="74782A8C"/>
    <w:rsid w:val="747C7F5F"/>
    <w:rsid w:val="747F0E23"/>
    <w:rsid w:val="7490285F"/>
    <w:rsid w:val="74964674"/>
    <w:rsid w:val="749D5800"/>
    <w:rsid w:val="74A06B2F"/>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64CDF"/>
    <w:rsid w:val="75594581"/>
    <w:rsid w:val="755A35FA"/>
    <w:rsid w:val="755A5494"/>
    <w:rsid w:val="75625A16"/>
    <w:rsid w:val="7564200E"/>
    <w:rsid w:val="75663FD1"/>
    <w:rsid w:val="75677137"/>
    <w:rsid w:val="75696461"/>
    <w:rsid w:val="756F19B6"/>
    <w:rsid w:val="757540E3"/>
    <w:rsid w:val="757D2DDE"/>
    <w:rsid w:val="75860377"/>
    <w:rsid w:val="758C64D2"/>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E23FB"/>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D6759"/>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D61A02"/>
    <w:rsid w:val="77DA4519"/>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C460F"/>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53CF4"/>
    <w:rsid w:val="795A5499"/>
    <w:rsid w:val="79605435"/>
    <w:rsid w:val="796A2D8C"/>
    <w:rsid w:val="796E35F2"/>
    <w:rsid w:val="7970341A"/>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620E2"/>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958E1"/>
    <w:rsid w:val="7A4D07BA"/>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0E0FFA"/>
    <w:rsid w:val="7B18546A"/>
    <w:rsid w:val="7B1B467F"/>
    <w:rsid w:val="7B1E73DE"/>
    <w:rsid w:val="7B1F59AA"/>
    <w:rsid w:val="7B214978"/>
    <w:rsid w:val="7B391012"/>
    <w:rsid w:val="7B394905"/>
    <w:rsid w:val="7B3E674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8E30E3"/>
    <w:rsid w:val="7C982736"/>
    <w:rsid w:val="7C9A2FA3"/>
    <w:rsid w:val="7C9E5A24"/>
    <w:rsid w:val="7CA039F8"/>
    <w:rsid w:val="7CA3583F"/>
    <w:rsid w:val="7CA67728"/>
    <w:rsid w:val="7CA868E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946C0"/>
    <w:rsid w:val="7D1D7FE9"/>
    <w:rsid w:val="7D292A41"/>
    <w:rsid w:val="7D2A5CCB"/>
    <w:rsid w:val="7D300202"/>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85FC9"/>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EF7A7D"/>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75253"/>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2024-10-07T11:28:17Z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